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Open Sans" w:cs="Open Sans" w:eastAsia="Open Sans" w:hAnsi="Open Sans"/>
          <w:b w:val="1"/>
        </w:rPr>
      </w:pPr>
      <w:r w:rsidDel="00000000" w:rsidR="00000000" w:rsidRPr="00000000">
        <w:rPr>
          <w:rFonts w:ascii="Open Sans" w:cs="Open Sans" w:eastAsia="Open Sans" w:hAnsi="Open Sans"/>
          <w:b w:val="1"/>
        </w:rPr>
        <w:drawing>
          <wp:inline distB="114300" distT="114300" distL="114300" distR="114300">
            <wp:extent cx="1700213" cy="987549"/>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700213" cy="98754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3">
      <w:pPr>
        <w:spacing w:line="276" w:lineRule="auto"/>
        <w:jc w:val="center"/>
        <w:rPr>
          <w:rFonts w:ascii="Open Sans" w:cs="Open Sans" w:eastAsia="Open Sans" w:hAnsi="Open Sans"/>
          <w:b w:val="1"/>
          <w:sz w:val="30"/>
          <w:szCs w:val="30"/>
        </w:rPr>
      </w:pPr>
      <w:r w:rsidDel="00000000" w:rsidR="00000000" w:rsidRPr="00000000">
        <w:rPr>
          <w:rFonts w:ascii="Open Sans" w:cs="Open Sans" w:eastAsia="Open Sans" w:hAnsi="Open Sans"/>
          <w:b w:val="1"/>
          <w:sz w:val="30"/>
          <w:szCs w:val="30"/>
          <w:rtl w:val="0"/>
        </w:rPr>
        <w:t xml:space="preserve">Our Voices, Our Futures </w:t>
      </w:r>
    </w:p>
    <w:p w:rsidR="00000000" w:rsidDel="00000000" w:rsidP="00000000" w:rsidRDefault="00000000" w:rsidRPr="00000000" w14:paraId="00000004">
      <w:pPr>
        <w:spacing w:line="276" w:lineRule="auto"/>
        <w:jc w:val="center"/>
        <w:rPr>
          <w:rFonts w:ascii="Open Sans" w:cs="Open Sans" w:eastAsia="Open Sans" w:hAnsi="Open Sans"/>
          <w:b w:val="1"/>
          <w:sz w:val="30"/>
          <w:szCs w:val="30"/>
        </w:rPr>
      </w:pPr>
      <w:r w:rsidDel="00000000" w:rsidR="00000000" w:rsidRPr="00000000">
        <w:rPr>
          <w:rFonts w:ascii="Open Sans" w:cs="Open Sans" w:eastAsia="Open Sans" w:hAnsi="Open Sans"/>
          <w:b w:val="1"/>
          <w:sz w:val="30"/>
          <w:szCs w:val="30"/>
          <w:rtl w:val="0"/>
        </w:rPr>
        <w:t xml:space="preserve">End Term Evaluation Consultancy</w:t>
      </w:r>
    </w:p>
    <w:p w:rsidR="00000000" w:rsidDel="00000000" w:rsidP="00000000" w:rsidRDefault="00000000" w:rsidRPr="00000000" w14:paraId="00000005">
      <w:pPr>
        <w:spacing w:line="276" w:lineRule="auto"/>
        <w:jc w:val="center"/>
        <w:rPr>
          <w:rFonts w:ascii="Open Sans" w:cs="Open Sans" w:eastAsia="Open Sans" w:hAnsi="Open Sans"/>
          <w:b w:val="1"/>
          <w:sz w:val="30"/>
          <w:szCs w:val="30"/>
        </w:rPr>
      </w:pPr>
      <w:r w:rsidDel="00000000" w:rsidR="00000000" w:rsidRPr="00000000">
        <w:rPr>
          <w:rFonts w:ascii="Open Sans" w:cs="Open Sans" w:eastAsia="Open Sans" w:hAnsi="Open Sans"/>
          <w:b w:val="1"/>
          <w:sz w:val="30"/>
          <w:szCs w:val="30"/>
          <w:rtl w:val="0"/>
        </w:rPr>
        <w:t xml:space="preserve">Period: 1 February to 31 December 2025 </w:t>
      </w:r>
    </w:p>
    <w:p w:rsidR="00000000" w:rsidDel="00000000" w:rsidP="00000000" w:rsidRDefault="00000000" w:rsidRPr="00000000" w14:paraId="00000006">
      <w:pPr>
        <w:spacing w:line="276" w:lineRule="auto"/>
        <w:jc w:val="center"/>
        <w:rPr>
          <w:rFonts w:ascii="Open Sans" w:cs="Open Sans" w:eastAsia="Open Sans" w:hAnsi="Open Sans"/>
          <w:b w:val="1"/>
          <w:sz w:val="30"/>
          <w:szCs w:val="30"/>
        </w:rPr>
      </w:pPr>
      <w:r w:rsidDel="00000000" w:rsidR="00000000" w:rsidRPr="00000000">
        <w:rPr>
          <w:rtl w:val="0"/>
        </w:rPr>
      </w:r>
    </w:p>
    <w:p w:rsidR="00000000" w:rsidDel="00000000" w:rsidP="00000000" w:rsidRDefault="00000000" w:rsidRPr="00000000" w14:paraId="00000007">
      <w:pPr>
        <w:spacing w:line="276" w:lineRule="auto"/>
        <w:jc w:val="both"/>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About OVOF</w:t>
      </w:r>
    </w:p>
    <w:p w:rsidR="00000000" w:rsidDel="00000000" w:rsidP="00000000" w:rsidRDefault="00000000" w:rsidRPr="00000000" w14:paraId="00000008">
      <w:pPr>
        <w:spacing w:line="276"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9">
      <w:pP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Our Voices, Our Futures (OVOF) is a global South-led consortium comprising CREA, the Association for Progressive Communications (APC), UHAI - The East African Sexual Health and Rights Initiative (UHAI EASHRI) and WO=MEN Dutch Gender Platform with CREA as the lead of this consortium. Consortium members are complemented by strategic partner Iniciativa Mesoamericana de Mujeres Defensoras de Derechos Humanos (IM-D), a Mesoamerican women’s human rights defenders (WHRDs) organisation. The four consortium members also work with their respective partners in the six countries of implementation: Bangladesh, India, Kenya, Lebanon, Sudan and Uganda.  </w:t>
      </w:r>
    </w:p>
    <w:p w:rsidR="00000000" w:rsidDel="00000000" w:rsidP="00000000" w:rsidRDefault="00000000" w:rsidRPr="00000000" w14:paraId="0000000A">
      <w:pP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OVOF is a strategic partnership funded by the Dutch Ministry of Foreign Affairs (MFA) under the Power of Voices stream. Power of Voices falls under the Strengthening Civil Society framework. </w:t>
      </w:r>
    </w:p>
    <w:p w:rsidR="00000000" w:rsidDel="00000000" w:rsidP="00000000" w:rsidRDefault="00000000" w:rsidRPr="00000000" w14:paraId="0000000C">
      <w:pP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D">
      <w:pPr>
        <w:spacing w:line="276" w:lineRule="auto"/>
        <w:jc w:val="both"/>
        <w:rPr>
          <w:rFonts w:ascii="Open Sans" w:cs="Open Sans" w:eastAsia="Open Sans" w:hAnsi="Open Sans"/>
          <w:b w:val="1"/>
          <w:sz w:val="30"/>
          <w:szCs w:val="30"/>
        </w:rPr>
      </w:pPr>
      <w:r w:rsidDel="00000000" w:rsidR="00000000" w:rsidRPr="00000000">
        <w:rPr>
          <w:rFonts w:ascii="Open Sans" w:cs="Open Sans" w:eastAsia="Open Sans" w:hAnsi="Open Sans"/>
          <w:b w:val="1"/>
          <w:sz w:val="30"/>
          <w:szCs w:val="30"/>
          <w:rtl w:val="0"/>
        </w:rPr>
        <w:t xml:space="preserve">Focus of the evaluation</w:t>
      </w:r>
    </w:p>
    <w:p w:rsidR="00000000" w:rsidDel="00000000" w:rsidP="00000000" w:rsidRDefault="00000000" w:rsidRPr="00000000" w14:paraId="0000000E">
      <w:pP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The OVOF multi-country independent end evaluation (ETE) for the expenditure period between 2021-2025 will be conducted in Bangladesh, India, Kenya, Lebanon, Sudan and Uganda, as well as at transnational level for global activities. For Sudan and Lebanon, specific arrangements will be made, including and majorly online arrangements, that meet the specific, contextual  and adaptive needs and preferences of partners. The evaluation will also review any existing data and documentation of impact and learnings gathered during the implementation period, including the Mid-Term Review, annual reports and learning products. The evaluation and reporting are expected between February and December 2025. The evaluation will focus on two levels – the programmatic and partnership collaboration – to understand and document the progress, impact, and learnings from efforts and approaches to amplify voices and increase civic spaces under the OVOF program. This includes target communities (structurally silenced women), implementing partners, the feminist movement, and the wider ecosystem (i.e. political and decision-making spaces). The evaluation will follow the expenditure approach in line with the IOB criteria. The aim is to assess how far the actual expenditure compares to the planned expenditure to date, with clarification of any changes in expenditure, and the unexpected/unplanned factors (where experienced) that influenced the changes in planned expenditure. </w:t>
      </w:r>
    </w:p>
    <w:p w:rsidR="00000000" w:rsidDel="00000000" w:rsidP="00000000" w:rsidRDefault="00000000" w:rsidRPr="00000000" w14:paraId="00000010">
      <w:pP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shd w:fill="ffffff" w:val="clea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The evaluation timeline is 1st February - 31 December 2025. Key activities mapped to the proposed workplan should consider the following. e.g. logistics planning and mobilising and engaging with evaluation participants, in country data-collection and geographies, fieldwork findings transcribing, analysis, synthesis and documentation. </w:t>
      </w:r>
      <w:r w:rsidDel="00000000" w:rsidR="00000000" w:rsidRPr="00000000">
        <w:rPr>
          <w:rtl w:val="0"/>
        </w:rPr>
      </w:r>
    </w:p>
    <w:p w:rsidR="00000000" w:rsidDel="00000000" w:rsidP="00000000" w:rsidRDefault="00000000" w:rsidRPr="00000000" w14:paraId="00000012">
      <w:pPr>
        <w:spacing w:line="276"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3">
      <w:pPr>
        <w:spacing w:line="276" w:lineRule="auto"/>
        <w:jc w:val="both"/>
        <w:rPr>
          <w:rFonts w:ascii="Open Sans" w:cs="Open Sans" w:eastAsia="Open Sans" w:hAnsi="Open Sans"/>
          <w:b w:val="1"/>
          <w:sz w:val="30"/>
          <w:szCs w:val="30"/>
        </w:rPr>
      </w:pPr>
      <w:r w:rsidDel="00000000" w:rsidR="00000000" w:rsidRPr="00000000">
        <w:rPr>
          <w:rFonts w:ascii="Open Sans" w:cs="Open Sans" w:eastAsia="Open Sans" w:hAnsi="Open Sans"/>
          <w:b w:val="1"/>
          <w:sz w:val="30"/>
          <w:szCs w:val="30"/>
          <w:rtl w:val="0"/>
        </w:rPr>
        <w:t xml:space="preserve">Selection criteria and process</w:t>
      </w:r>
    </w:p>
    <w:p w:rsidR="00000000" w:rsidDel="00000000" w:rsidP="00000000" w:rsidRDefault="00000000" w:rsidRPr="00000000" w14:paraId="00000014">
      <w:pPr>
        <w:spacing w:line="276"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5">
      <w:pPr>
        <w:numPr>
          <w:ilvl w:val="0"/>
          <w:numId w:val="2"/>
        </w:numPr>
        <w:spacing w:line="276"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Realistic proposal in alignment with IOB and OECD-DAC criteria.</w:t>
      </w:r>
    </w:p>
    <w:p w:rsidR="00000000" w:rsidDel="00000000" w:rsidP="00000000" w:rsidRDefault="00000000" w:rsidRPr="00000000" w14:paraId="00000016">
      <w:pPr>
        <w:numPr>
          <w:ilvl w:val="0"/>
          <w:numId w:val="2"/>
        </w:numPr>
        <w:spacing w:line="276"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Relevant experience in feminist evaluation at national and global levels and knowledge and independence of evaluators with regard to the programme(s)/ the partnerships/activities under evaluation.</w:t>
      </w:r>
    </w:p>
    <w:p w:rsidR="00000000" w:rsidDel="00000000" w:rsidP="00000000" w:rsidRDefault="00000000" w:rsidRPr="00000000" w14:paraId="00000017">
      <w:pPr>
        <w:numPr>
          <w:ilvl w:val="0"/>
          <w:numId w:val="2"/>
        </w:numPr>
        <w:spacing w:line="276"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The majority of the team is based in an OVOF region and some of them self-identify as structurally excluded persons. </w:t>
      </w:r>
    </w:p>
    <w:p w:rsidR="00000000" w:rsidDel="00000000" w:rsidP="00000000" w:rsidRDefault="00000000" w:rsidRPr="00000000" w14:paraId="00000018">
      <w:pPr>
        <w:numPr>
          <w:ilvl w:val="0"/>
          <w:numId w:val="2"/>
        </w:numPr>
        <w:spacing w:line="276"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Attention to gender expertise and gender balance within the evaluation team.</w:t>
      </w:r>
    </w:p>
    <w:p w:rsidR="00000000" w:rsidDel="00000000" w:rsidP="00000000" w:rsidRDefault="00000000" w:rsidRPr="00000000" w14:paraId="00000019">
      <w:pPr>
        <w:numPr>
          <w:ilvl w:val="0"/>
          <w:numId w:val="2"/>
        </w:numPr>
        <w:spacing w:line="276"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Attention to relevant inclusion of national (in country) senior and junior consultants.</w:t>
      </w:r>
    </w:p>
    <w:p w:rsidR="00000000" w:rsidDel="00000000" w:rsidP="00000000" w:rsidRDefault="00000000" w:rsidRPr="00000000" w14:paraId="0000001A">
      <w:pPr>
        <w:numPr>
          <w:ilvl w:val="0"/>
          <w:numId w:val="2"/>
        </w:numPr>
        <w:spacing w:line="276"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Budget and timeline proposed.</w:t>
      </w:r>
    </w:p>
    <w:p w:rsidR="00000000" w:rsidDel="00000000" w:rsidP="00000000" w:rsidRDefault="00000000" w:rsidRPr="00000000" w14:paraId="0000001B">
      <w:pPr>
        <w:numPr>
          <w:ilvl w:val="0"/>
          <w:numId w:val="2"/>
        </w:numPr>
        <w:spacing w:line="276"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Relevant expertise as per the topic of the partnership.</w:t>
      </w:r>
    </w:p>
    <w:p w:rsidR="00000000" w:rsidDel="00000000" w:rsidP="00000000" w:rsidRDefault="00000000" w:rsidRPr="00000000" w14:paraId="0000001C">
      <w:pPr>
        <w:numPr>
          <w:ilvl w:val="0"/>
          <w:numId w:val="2"/>
        </w:numPr>
        <w:spacing w:line="276"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Relevant expertise with similar evaluations, the application of rigorous evaluation methodologies and upholding the IOB evaluation quality criteria.</w:t>
      </w:r>
    </w:p>
    <w:p w:rsidR="00000000" w:rsidDel="00000000" w:rsidP="00000000" w:rsidRDefault="00000000" w:rsidRPr="00000000" w14:paraId="0000001D">
      <w:pPr>
        <w:numPr>
          <w:ilvl w:val="0"/>
          <w:numId w:val="2"/>
        </w:numPr>
        <w:spacing w:line="276"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Good analytical evaluation report writing skills and ability to articulate stories of change. </w:t>
      </w:r>
    </w:p>
    <w:p w:rsidR="00000000" w:rsidDel="00000000" w:rsidP="00000000" w:rsidRDefault="00000000" w:rsidRPr="00000000" w14:paraId="0000001E">
      <w:pPr>
        <w:numPr>
          <w:ilvl w:val="0"/>
          <w:numId w:val="2"/>
        </w:numPr>
        <w:spacing w:line="276"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Expertise and alignment of the proposal to feminist approaches to evaluation.</w:t>
      </w:r>
    </w:p>
    <w:p w:rsidR="00000000" w:rsidDel="00000000" w:rsidP="00000000" w:rsidRDefault="00000000" w:rsidRPr="00000000" w14:paraId="0000001F">
      <w:pPr>
        <w:numPr>
          <w:ilvl w:val="0"/>
          <w:numId w:val="2"/>
        </w:numPr>
        <w:spacing w:line="276"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Demonstrated ability to approach evaluations from the lens of donor advocacy and/or recommendations to donors.</w:t>
      </w:r>
    </w:p>
    <w:p w:rsidR="00000000" w:rsidDel="00000000" w:rsidP="00000000" w:rsidRDefault="00000000" w:rsidRPr="00000000" w14:paraId="00000020">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1">
      <w:pPr>
        <w:spacing w:line="276"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2">
      <w:pP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The End Term Evaluation budget is capped at </w:t>
      </w:r>
      <w:r w:rsidDel="00000000" w:rsidR="00000000" w:rsidRPr="00000000">
        <w:rPr>
          <w:rFonts w:ascii="Open Sans" w:cs="Open Sans" w:eastAsia="Open Sans" w:hAnsi="Open Sans"/>
          <w:b w:val="1"/>
          <w:rtl w:val="0"/>
        </w:rPr>
        <w:t xml:space="preserve">EUR 250,000</w:t>
      </w:r>
      <w:r w:rsidDel="00000000" w:rsidR="00000000" w:rsidRPr="00000000">
        <w:rPr>
          <w:rFonts w:ascii="Open Sans" w:cs="Open Sans" w:eastAsia="Open Sans" w:hAnsi="Open Sans"/>
          <w:rtl w:val="0"/>
        </w:rPr>
        <w:t xml:space="preserve"> including tax. It will cover all fieldwork activities and consultant fees for the period </w:t>
      </w:r>
      <w:r w:rsidDel="00000000" w:rsidR="00000000" w:rsidRPr="00000000">
        <w:rPr>
          <w:rFonts w:ascii="Open Sans" w:cs="Open Sans" w:eastAsia="Open Sans" w:hAnsi="Open Sans"/>
          <w:b w:val="1"/>
          <w:rtl w:val="0"/>
        </w:rPr>
        <w:t xml:space="preserve">1 February to 31 December 2025. </w:t>
      </w:r>
      <w:r w:rsidDel="00000000" w:rsidR="00000000" w:rsidRPr="00000000">
        <w:rPr>
          <w:rtl w:val="0"/>
        </w:rPr>
      </w:r>
    </w:p>
    <w:p w:rsidR="00000000" w:rsidDel="00000000" w:rsidP="00000000" w:rsidRDefault="00000000" w:rsidRPr="00000000" w14:paraId="00000023">
      <w:pP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In the budget proposal, please take into account and include: </w:t>
      </w:r>
    </w:p>
    <w:p w:rsidR="00000000" w:rsidDel="00000000" w:rsidP="00000000" w:rsidRDefault="00000000" w:rsidRPr="00000000" w14:paraId="00000025">
      <w:pPr>
        <w:numPr>
          <w:ilvl w:val="0"/>
          <w:numId w:val="1"/>
        </w:numPr>
        <w:spacing w:line="276"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Consultant fees for primary team members;</w:t>
      </w:r>
    </w:p>
    <w:p w:rsidR="00000000" w:rsidDel="00000000" w:rsidP="00000000" w:rsidRDefault="00000000" w:rsidRPr="00000000" w14:paraId="00000026">
      <w:pPr>
        <w:numPr>
          <w:ilvl w:val="0"/>
          <w:numId w:val="1"/>
        </w:numPr>
        <w:spacing w:line="276"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The tasks/scope of the evaluation;</w:t>
      </w:r>
    </w:p>
    <w:p w:rsidR="00000000" w:rsidDel="00000000" w:rsidP="00000000" w:rsidRDefault="00000000" w:rsidRPr="00000000" w14:paraId="00000027">
      <w:pPr>
        <w:numPr>
          <w:ilvl w:val="0"/>
          <w:numId w:val="1"/>
        </w:numPr>
        <w:spacing w:line="276"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The estimated size and scope of the programme to be evaluated - with the level of </w:t>
      </w:r>
    </w:p>
    <w:p w:rsidR="00000000" w:rsidDel="00000000" w:rsidP="00000000" w:rsidRDefault="00000000" w:rsidRPr="00000000" w14:paraId="00000028">
      <w:pPr>
        <w:spacing w:line="276" w:lineRule="auto"/>
        <w:ind w:left="720" w:firstLine="0"/>
        <w:jc w:val="both"/>
        <w:rPr>
          <w:rFonts w:ascii="Open Sans" w:cs="Open Sans" w:eastAsia="Open Sans" w:hAnsi="Open Sans"/>
        </w:rPr>
      </w:pPr>
      <w:r w:rsidDel="00000000" w:rsidR="00000000" w:rsidRPr="00000000">
        <w:rPr>
          <w:rFonts w:ascii="Open Sans" w:cs="Open Sans" w:eastAsia="Open Sans" w:hAnsi="Open Sans"/>
          <w:rtl w:val="0"/>
        </w:rPr>
        <w:t xml:space="preserve">detail that is possible based on the information provided in the ToR and in the Annexes (in terms of e.g. five consortium members and one strategic partner, with 50 partners in six countries, as well as global activities). This will be finalised in detail at the evaluation inception phase; </w:t>
      </w:r>
    </w:p>
    <w:p w:rsidR="00000000" w:rsidDel="00000000" w:rsidP="00000000" w:rsidRDefault="00000000" w:rsidRPr="00000000" w14:paraId="00000029">
      <w:pPr>
        <w:numPr>
          <w:ilvl w:val="0"/>
          <w:numId w:val="1"/>
        </w:numPr>
        <w:spacing w:line="276" w:lineRule="auto"/>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Expected number of working days.</w:t>
      </w:r>
    </w:p>
    <w:p w:rsidR="00000000" w:rsidDel="00000000" w:rsidP="00000000" w:rsidRDefault="00000000" w:rsidRPr="00000000" w14:paraId="0000002A">
      <w:pP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B">
      <w:pPr>
        <w:spacing w:line="276" w:lineRule="auto"/>
        <w:jc w:val="left"/>
        <w:rPr>
          <w:rFonts w:ascii="Open Sans" w:cs="Open Sans" w:eastAsia="Open Sans" w:hAnsi="Open Sans"/>
        </w:rPr>
      </w:pPr>
      <w:r w:rsidDel="00000000" w:rsidR="00000000" w:rsidRPr="00000000">
        <w:rPr>
          <w:rFonts w:ascii="Open Sans" w:cs="Open Sans" w:eastAsia="Open Sans" w:hAnsi="Open Sans"/>
          <w:b w:val="1"/>
          <w:u w:val="single"/>
          <w:rtl w:val="0"/>
        </w:rPr>
        <w:t xml:space="preserve">Please find a full Terms of Reference as a PDF here:</w:t>
      </w:r>
      <w:r w:rsidDel="00000000" w:rsidR="00000000" w:rsidRPr="00000000">
        <w:rPr>
          <w:rFonts w:ascii="Open Sans" w:cs="Open Sans" w:eastAsia="Open Sans" w:hAnsi="Open Sans"/>
          <w:rtl w:val="0"/>
        </w:rPr>
        <w:t xml:space="preserve"> </w:t>
      </w:r>
      <w:hyperlink r:id="rId7">
        <w:r w:rsidDel="00000000" w:rsidR="00000000" w:rsidRPr="00000000">
          <w:rPr>
            <w:rFonts w:ascii="Open Sans" w:cs="Open Sans" w:eastAsia="Open Sans" w:hAnsi="Open Sans"/>
            <w:color w:val="1155cc"/>
            <w:u w:val="single"/>
            <w:rtl w:val="0"/>
          </w:rPr>
          <w:t xml:space="preserve">https://creaworld.org/ovof-end-term-evaluation-consultancy/</w:t>
        </w:r>
      </w:hyperlink>
      <w:r w:rsidDel="00000000" w:rsidR="00000000" w:rsidRPr="00000000">
        <w:rPr>
          <w:rFonts w:ascii="Open Sans" w:cs="Open Sans" w:eastAsia="Open Sans" w:hAnsi="Open Sans"/>
          <w:rtl w:val="0"/>
        </w:rPr>
        <w:br w:type="textWrapping"/>
      </w:r>
      <w:r w:rsidDel="00000000" w:rsidR="00000000" w:rsidRPr="00000000">
        <w:rPr>
          <w:rFonts w:ascii="Open Sans" w:cs="Open Sans" w:eastAsia="Open Sans" w:hAnsi="Open Sans"/>
          <w:rtl w:val="0"/>
        </w:rPr>
        <w:t xml:space="preserve">It will be necessary to review the full ToR in order to submit an application for the Consultancy. </w:t>
      </w:r>
    </w:p>
    <w:p w:rsidR="00000000" w:rsidDel="00000000" w:rsidP="00000000" w:rsidRDefault="00000000" w:rsidRPr="00000000" w14:paraId="0000002C">
      <w:pPr>
        <w:spacing w:line="276" w:lineRule="auto"/>
        <w:jc w:val="left"/>
        <w:rPr>
          <w:rFonts w:ascii="Open Sans" w:cs="Open Sans" w:eastAsia="Open Sans" w:hAnsi="Open Sans"/>
          <w:b w:val="1"/>
          <w:highlight w:val="yellow"/>
        </w:rPr>
      </w:pPr>
      <w:r w:rsidDel="00000000" w:rsidR="00000000" w:rsidRPr="00000000">
        <w:rPr>
          <w:rtl w:val="0"/>
        </w:rPr>
      </w:r>
    </w:p>
    <w:p w:rsidR="00000000" w:rsidDel="00000000" w:rsidP="00000000" w:rsidRDefault="00000000" w:rsidRPr="00000000" w14:paraId="0000002D">
      <w:pP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We invite interested applicants (individuals/teams/organisations/agencies) to send a short summary of appropriateness for the evaluation, expression of interest, together with the proposed budget and workplan, candidates’ curriculum vitae and team profiles, by </w:t>
      </w:r>
      <w:r w:rsidDel="00000000" w:rsidR="00000000" w:rsidRPr="00000000">
        <w:rPr>
          <w:rFonts w:ascii="Open Sans" w:cs="Open Sans" w:eastAsia="Open Sans" w:hAnsi="Open Sans"/>
          <w:b w:val="1"/>
          <w:u w:val="single"/>
          <w:rtl w:val="0"/>
        </w:rPr>
        <w:t xml:space="preserve">8 December 7pm UTC</w:t>
      </w:r>
      <w:r w:rsidDel="00000000" w:rsidR="00000000" w:rsidRPr="00000000">
        <w:rPr>
          <w:rFonts w:ascii="Open Sans" w:cs="Open Sans" w:eastAsia="Open Sans" w:hAnsi="Open Sans"/>
          <w:rtl w:val="0"/>
        </w:rPr>
        <w:t xml:space="preserve"> to </w:t>
      </w:r>
      <w:hyperlink r:id="rId8">
        <w:r w:rsidDel="00000000" w:rsidR="00000000" w:rsidRPr="00000000">
          <w:rPr>
            <w:rFonts w:ascii="Open Sans" w:cs="Open Sans" w:eastAsia="Open Sans" w:hAnsi="Open Sans"/>
            <w:color w:val="1155cc"/>
            <w:u w:val="single"/>
            <w:rtl w:val="0"/>
          </w:rPr>
          <w:t xml:space="preserve">elena.ghizzo@creaworld.org</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2E">
      <w:pP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2F">
      <w:pP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For any questions or clarifications, please contact </w:t>
      </w:r>
      <w:hyperlink r:id="rId9">
        <w:r w:rsidDel="00000000" w:rsidR="00000000" w:rsidRPr="00000000">
          <w:rPr>
            <w:rFonts w:ascii="Open Sans" w:cs="Open Sans" w:eastAsia="Open Sans" w:hAnsi="Open Sans"/>
            <w:color w:val="1155cc"/>
            <w:u w:val="single"/>
            <w:rtl w:val="0"/>
          </w:rPr>
          <w:t xml:space="preserve">elena.ghizzo@creaworld.org</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30">
      <w:pP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1">
      <w:pP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The OVOF ETE Reference Group will hold the selection process and aims to conduct interviews with shortlisted candidates by 18 December 2024, with a decision made on the selected application on 20 December. Work is expected to commence on 1 February 2025. </w:t>
      </w:r>
      <w:r w:rsidDel="00000000" w:rsidR="00000000" w:rsidRPr="00000000">
        <w:rPr>
          <w:rtl w:val="0"/>
        </w:rPr>
      </w:r>
    </w:p>
    <w:p w:rsidR="00000000" w:rsidDel="00000000" w:rsidP="00000000" w:rsidRDefault="00000000" w:rsidRPr="00000000" w14:paraId="00000032">
      <w:pPr>
        <w:spacing w:line="276" w:lineRule="auto"/>
        <w:jc w:val="left"/>
        <w:rPr>
          <w:rFonts w:ascii="Open Sans" w:cs="Open Sans" w:eastAsia="Open Sans" w:hAnsi="Open Sans"/>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ena.ghizzo@creaworld.or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creaworld.org/ovof-end-term-evaluation-consultancy/" TargetMode="External"/><Relationship Id="rId8" Type="http://schemas.openxmlformats.org/officeDocument/2006/relationships/hyperlink" Target="mailto:elena.ghizzo@creaworl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